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83" w:rsidRDefault="00D61611" w:rsidP="001004FD">
      <w:pPr>
        <w:pStyle w:val="Heading1"/>
      </w:pPr>
      <w:r>
        <w:t>TRO in District Court</w:t>
      </w:r>
    </w:p>
    <w:p w:rsidR="00D61611" w:rsidRDefault="006D481B" w:rsidP="007F69FF">
      <w:pPr>
        <w:pStyle w:val="ListParagraph"/>
        <w:numPr>
          <w:ilvl w:val="0"/>
          <w:numId w:val="2"/>
        </w:numPr>
      </w:pPr>
      <w:r w:rsidRPr="00D60235">
        <w:rPr>
          <w:b/>
          <w:u w:val="single"/>
        </w:rPr>
        <w:t>T</w:t>
      </w:r>
      <w:r w:rsidR="00A9397D" w:rsidRPr="00D60235">
        <w:rPr>
          <w:b/>
          <w:u w:val="single"/>
        </w:rPr>
        <w:t xml:space="preserve">emporary </w:t>
      </w:r>
      <w:r w:rsidRPr="00D60235">
        <w:rPr>
          <w:b/>
          <w:u w:val="single"/>
        </w:rPr>
        <w:t>R</w:t>
      </w:r>
      <w:r w:rsidR="00A9397D" w:rsidRPr="00D60235">
        <w:rPr>
          <w:b/>
          <w:u w:val="single"/>
        </w:rPr>
        <w:t xml:space="preserve">estraining </w:t>
      </w:r>
      <w:r w:rsidRPr="00D60235">
        <w:rPr>
          <w:b/>
          <w:u w:val="single"/>
        </w:rPr>
        <w:t>O</w:t>
      </w:r>
      <w:r w:rsidR="00A9397D" w:rsidRPr="00D60235">
        <w:rPr>
          <w:b/>
          <w:u w:val="single"/>
        </w:rPr>
        <w:t>rder (TRO)</w:t>
      </w:r>
      <w:r w:rsidRPr="00D60235">
        <w:rPr>
          <w:b/>
          <w:u w:val="single"/>
        </w:rPr>
        <w:t>:</w:t>
      </w:r>
      <w:r>
        <w:t xml:space="preserve"> A protective order </w:t>
      </w:r>
      <w:r w:rsidR="007F69FF">
        <w:t>from</w:t>
      </w:r>
      <w:r w:rsidR="0000372C">
        <w:t xml:space="preserve"> </w:t>
      </w:r>
      <w:r>
        <w:t>the c</w:t>
      </w:r>
      <w:r w:rsidR="00D61611">
        <w:t xml:space="preserve">ourt </w:t>
      </w:r>
      <w:r>
        <w:t xml:space="preserve">that </w:t>
      </w:r>
      <w:r w:rsidR="00D61611">
        <w:t xml:space="preserve">tells a party that </w:t>
      </w:r>
      <w:r w:rsidR="0000372C">
        <w:t>he or she</w:t>
      </w:r>
      <w:r w:rsidR="00D61611">
        <w:t xml:space="preserve"> cannot harass another party</w:t>
      </w:r>
    </w:p>
    <w:p w:rsidR="0000372C" w:rsidRPr="007F69FF" w:rsidRDefault="0000372C" w:rsidP="007F69FF">
      <w:pPr>
        <w:pStyle w:val="ListParagraph"/>
        <w:numPr>
          <w:ilvl w:val="1"/>
          <w:numId w:val="2"/>
        </w:numPr>
        <w:rPr>
          <w:u w:val="single"/>
        </w:rPr>
      </w:pPr>
      <w:r w:rsidRPr="00D60235">
        <w:rPr>
          <w:b/>
          <w:u w:val="single"/>
        </w:rPr>
        <w:t>Harassment</w:t>
      </w:r>
      <w:r w:rsidRPr="007F69FF">
        <w:rPr>
          <w:u w:val="single"/>
        </w:rPr>
        <w:t>:</w:t>
      </w:r>
    </w:p>
    <w:p w:rsidR="0000372C" w:rsidRDefault="0000372C" w:rsidP="007F69FF">
      <w:pPr>
        <w:pStyle w:val="ListParagraph"/>
        <w:numPr>
          <w:ilvl w:val="2"/>
          <w:numId w:val="2"/>
        </w:numPr>
      </w:pPr>
      <w:r>
        <w:t xml:space="preserve">Physical harm, bodily injury, </w:t>
      </w:r>
      <w:r w:rsidR="007F69FF">
        <w:t>or assault</w:t>
      </w:r>
      <w:r>
        <w:t xml:space="preserve"> </w:t>
      </w:r>
      <w:r w:rsidR="007F69FF">
        <w:t>(</w:t>
      </w:r>
      <w:r>
        <w:t xml:space="preserve">or </w:t>
      </w:r>
      <w:r w:rsidR="007F69FF">
        <w:t xml:space="preserve">the </w:t>
      </w:r>
      <w:r>
        <w:t>imminent</w:t>
      </w:r>
      <w:r w:rsidR="007F69FF">
        <w:t xml:space="preserve"> threat of)</w:t>
      </w:r>
    </w:p>
    <w:p w:rsidR="0000372C" w:rsidRDefault="007F69FF" w:rsidP="007F69FF">
      <w:pPr>
        <w:pStyle w:val="ListParagraph"/>
        <w:numPr>
          <w:ilvl w:val="2"/>
          <w:numId w:val="2"/>
        </w:numPr>
      </w:pPr>
      <w:r>
        <w:t>Intentional action</w:t>
      </w:r>
      <w:r w:rsidR="0000372C">
        <w:t xml:space="preserve"> directed at an individual that seriously</w:t>
      </w:r>
      <w:r>
        <w:t xml:space="preserve"> and consistently</w:t>
      </w:r>
      <w:r w:rsidR="0000372C">
        <w:t xml:space="preserve"> alar</w:t>
      </w:r>
      <w:r>
        <w:t xml:space="preserve">ms, </w:t>
      </w:r>
      <w:r w:rsidR="00A9397D">
        <w:t xml:space="preserve">disturbs, </w:t>
      </w:r>
      <w:r>
        <w:t>or</w:t>
      </w:r>
      <w:r w:rsidR="00A9397D">
        <w:t xml:space="preserve"> </w:t>
      </w:r>
      <w:r>
        <w:t>bothers the individual, and</w:t>
      </w:r>
      <w:r w:rsidR="0000372C">
        <w:t xml:space="preserve"> serves no legitimate purpose</w:t>
      </w:r>
      <w:r w:rsidR="0041418B">
        <w:t xml:space="preserve"> and</w:t>
      </w:r>
      <w:r w:rsidR="0000372C">
        <w:t xml:space="preserve"> would cause a reasonable person to suffer emotional distress</w:t>
      </w:r>
    </w:p>
    <w:p w:rsidR="0000372C" w:rsidRDefault="0000372C" w:rsidP="007F69FF">
      <w:pPr>
        <w:pStyle w:val="ListParagraph"/>
        <w:numPr>
          <w:ilvl w:val="0"/>
          <w:numId w:val="2"/>
        </w:numPr>
      </w:pPr>
      <w:r>
        <w:t xml:space="preserve">Petitioner has right to live in a safe </w:t>
      </w:r>
      <w:r w:rsidR="007F69FF">
        <w:t>environment, free from threat or</w:t>
      </w:r>
      <w:r>
        <w:t xml:space="preserve"> harm</w:t>
      </w:r>
      <w:r w:rsidRPr="0000372C">
        <w:t xml:space="preserve"> </w:t>
      </w:r>
    </w:p>
    <w:p w:rsidR="0000372C" w:rsidRDefault="007F69FF" w:rsidP="007F69FF">
      <w:pPr>
        <w:pStyle w:val="ListParagraph"/>
        <w:numPr>
          <w:ilvl w:val="1"/>
          <w:numId w:val="2"/>
        </w:numPr>
      </w:pPr>
      <w:r>
        <w:t>C</w:t>
      </w:r>
      <w:r w:rsidR="0000372C">
        <w:t>an seek protection by obtaining a TRO against perpetrator</w:t>
      </w:r>
    </w:p>
    <w:p w:rsidR="00125549" w:rsidRDefault="00125549" w:rsidP="007F69FF">
      <w:pPr>
        <w:pStyle w:val="ListParagraph"/>
        <w:numPr>
          <w:ilvl w:val="2"/>
          <w:numId w:val="2"/>
        </w:numPr>
      </w:pPr>
      <w:r>
        <w:t>Length of TRO:</w:t>
      </w:r>
    </w:p>
    <w:p w:rsidR="00125549" w:rsidRDefault="00125549" w:rsidP="00125549">
      <w:pPr>
        <w:pStyle w:val="ListParagraph"/>
        <w:numPr>
          <w:ilvl w:val="3"/>
          <w:numId w:val="2"/>
        </w:numPr>
      </w:pPr>
      <w:r>
        <w:t>Ex Parte: 90 days (or until the date of TRO court hearing)</w:t>
      </w:r>
    </w:p>
    <w:p w:rsidR="0000372C" w:rsidRDefault="0000372C" w:rsidP="00125549">
      <w:pPr>
        <w:pStyle w:val="ListParagraph"/>
        <w:numPr>
          <w:ilvl w:val="3"/>
          <w:numId w:val="2"/>
        </w:numPr>
      </w:pPr>
      <w:r>
        <w:t xml:space="preserve">Can extend protection for up to 3 years through the District Court </w:t>
      </w:r>
    </w:p>
    <w:p w:rsidR="0000372C" w:rsidRDefault="0000372C" w:rsidP="00AA4B59">
      <w:pPr>
        <w:pStyle w:val="ListParagraph"/>
        <w:numPr>
          <w:ilvl w:val="1"/>
          <w:numId w:val="2"/>
        </w:numPr>
      </w:pPr>
      <w:r>
        <w:t>TRO can be issued against any person where there is probable cause of harassment or threat of harassment may be imminent</w:t>
      </w:r>
    </w:p>
    <w:p w:rsidR="00D61611" w:rsidRDefault="006D481B" w:rsidP="00E21163">
      <w:pPr>
        <w:pStyle w:val="ListParagraph"/>
        <w:numPr>
          <w:ilvl w:val="0"/>
          <w:numId w:val="2"/>
        </w:numPr>
      </w:pPr>
      <w:r>
        <w:t>Limitations</w:t>
      </w:r>
      <w:r w:rsidR="00D61611">
        <w:t xml:space="preserve"> of </w:t>
      </w:r>
      <w:r w:rsidR="00D37051">
        <w:t xml:space="preserve">TRO in </w:t>
      </w:r>
      <w:r w:rsidR="00D61611">
        <w:t>District Court</w:t>
      </w:r>
      <w:r w:rsidR="00D37051">
        <w:t xml:space="preserve"> (differs from TRO in family court)</w:t>
      </w:r>
      <w:r w:rsidR="00125549">
        <w:t>:</w:t>
      </w:r>
    </w:p>
    <w:p w:rsidR="006D481B" w:rsidRDefault="00D61611" w:rsidP="007F69FF">
      <w:pPr>
        <w:pStyle w:val="ListParagraph"/>
        <w:numPr>
          <w:ilvl w:val="1"/>
          <w:numId w:val="2"/>
        </w:numPr>
      </w:pPr>
      <w:r>
        <w:t>R</w:t>
      </w:r>
      <w:r w:rsidR="00125549">
        <w:t>espondent cannot be</w:t>
      </w:r>
      <w:r w:rsidR="006D481B">
        <w:t>:</w:t>
      </w:r>
      <w:r>
        <w:t xml:space="preserve"> </w:t>
      </w:r>
    </w:p>
    <w:p w:rsidR="006D481B" w:rsidRDefault="00125549" w:rsidP="007F69FF">
      <w:pPr>
        <w:pStyle w:val="ListParagraph"/>
        <w:numPr>
          <w:ilvl w:val="2"/>
          <w:numId w:val="2"/>
        </w:numPr>
      </w:pPr>
      <w:r>
        <w:t>A r</w:t>
      </w:r>
      <w:r w:rsidR="00D61611">
        <w:t>elative</w:t>
      </w:r>
    </w:p>
    <w:p w:rsidR="006D481B" w:rsidRDefault="00125549" w:rsidP="007F69FF">
      <w:pPr>
        <w:pStyle w:val="ListParagraph"/>
        <w:numPr>
          <w:ilvl w:val="2"/>
          <w:numId w:val="2"/>
        </w:numPr>
      </w:pPr>
      <w:r>
        <w:t>M</w:t>
      </w:r>
      <w:r w:rsidR="00D61611">
        <w:t>arried/previously married</w:t>
      </w:r>
      <w:r w:rsidR="006D481B">
        <w:t xml:space="preserve"> with petitioner</w:t>
      </w:r>
    </w:p>
    <w:p w:rsidR="006D481B" w:rsidRDefault="00125549" w:rsidP="007F69FF">
      <w:pPr>
        <w:pStyle w:val="ListParagraph"/>
        <w:numPr>
          <w:ilvl w:val="2"/>
          <w:numId w:val="2"/>
        </w:numPr>
      </w:pPr>
      <w:r>
        <w:t>P</w:t>
      </w:r>
      <w:r w:rsidR="00D61611">
        <w:t>reviously living with petitioner</w:t>
      </w:r>
    </w:p>
    <w:p w:rsidR="006D481B" w:rsidRDefault="006D481B" w:rsidP="007F69FF">
      <w:pPr>
        <w:pStyle w:val="ListParagraph"/>
        <w:numPr>
          <w:ilvl w:val="2"/>
          <w:numId w:val="2"/>
        </w:numPr>
      </w:pPr>
      <w:r>
        <w:t>S</w:t>
      </w:r>
      <w:r w:rsidR="00D61611">
        <w:t>omeone who has child with petitioner</w:t>
      </w:r>
    </w:p>
    <w:p w:rsidR="006D481B" w:rsidRDefault="006D481B" w:rsidP="007F69FF">
      <w:pPr>
        <w:pStyle w:val="ListParagraph"/>
        <w:numPr>
          <w:ilvl w:val="2"/>
          <w:numId w:val="2"/>
        </w:numPr>
      </w:pPr>
      <w:r>
        <w:t>S</w:t>
      </w:r>
      <w:r w:rsidR="00D61611">
        <w:t>omeone the petitioner was/is dating</w:t>
      </w:r>
    </w:p>
    <w:p w:rsidR="00A9397D" w:rsidRDefault="00125549" w:rsidP="00125549">
      <w:pPr>
        <w:pStyle w:val="ListParagraph"/>
        <w:numPr>
          <w:ilvl w:val="0"/>
          <w:numId w:val="2"/>
        </w:numPr>
      </w:pPr>
      <w:r>
        <w:t>Process of the District Court TRO</w:t>
      </w:r>
    </w:p>
    <w:p w:rsidR="00125549" w:rsidRDefault="00125549" w:rsidP="007F69FF">
      <w:pPr>
        <w:pStyle w:val="ListParagraph"/>
        <w:numPr>
          <w:ilvl w:val="2"/>
          <w:numId w:val="2"/>
        </w:numPr>
      </w:pPr>
      <w:r>
        <w:t>Apply for Ex Parte TRO at the District Court</w:t>
      </w:r>
    </w:p>
    <w:p w:rsidR="00125549" w:rsidRDefault="00125549" w:rsidP="007F69FF">
      <w:pPr>
        <w:pStyle w:val="ListParagraph"/>
        <w:numPr>
          <w:ilvl w:val="2"/>
          <w:numId w:val="2"/>
        </w:numPr>
      </w:pPr>
      <w:r>
        <w:t>Petitioner must provide ample amount of detail or petition can be denied</w:t>
      </w:r>
    </w:p>
    <w:p w:rsidR="00D37051" w:rsidRDefault="00D37051" w:rsidP="00D37051">
      <w:pPr>
        <w:pStyle w:val="ListParagraph"/>
        <w:numPr>
          <w:ilvl w:val="3"/>
          <w:numId w:val="2"/>
        </w:numPr>
      </w:pPr>
      <w:r>
        <w:t>Dates of abuse/threats</w:t>
      </w:r>
    </w:p>
    <w:p w:rsidR="00D37051" w:rsidRDefault="00D37051" w:rsidP="00D37051">
      <w:pPr>
        <w:pStyle w:val="ListParagraph"/>
        <w:numPr>
          <w:ilvl w:val="3"/>
          <w:numId w:val="2"/>
        </w:numPr>
      </w:pPr>
      <w:r>
        <w:t>Description of physical/psychological abuse</w:t>
      </w:r>
    </w:p>
    <w:p w:rsidR="00D37051" w:rsidRDefault="00D37051" w:rsidP="00D37051">
      <w:pPr>
        <w:pStyle w:val="ListParagraph"/>
        <w:numPr>
          <w:ilvl w:val="3"/>
          <w:numId w:val="2"/>
        </w:numPr>
      </w:pPr>
      <w:r>
        <w:t>Information of property damage</w:t>
      </w:r>
    </w:p>
    <w:p w:rsidR="00D37051" w:rsidRDefault="00D37051" w:rsidP="00D37051">
      <w:pPr>
        <w:pStyle w:val="ListParagraph"/>
        <w:numPr>
          <w:ilvl w:val="3"/>
          <w:numId w:val="2"/>
        </w:numPr>
      </w:pPr>
      <w:r>
        <w:t>Other documentation of harassment/abuse (medical/police reports)</w:t>
      </w:r>
    </w:p>
    <w:p w:rsidR="00125549" w:rsidRDefault="00125549" w:rsidP="007F69FF">
      <w:pPr>
        <w:pStyle w:val="ListParagraph"/>
        <w:numPr>
          <w:ilvl w:val="2"/>
          <w:numId w:val="2"/>
        </w:numPr>
      </w:pPr>
      <w:r>
        <w:t>Pay $15 filing fee</w:t>
      </w:r>
    </w:p>
    <w:p w:rsidR="00A9397D" w:rsidRDefault="00A9397D" w:rsidP="007F69FF">
      <w:pPr>
        <w:pStyle w:val="ListParagraph"/>
        <w:numPr>
          <w:ilvl w:val="2"/>
          <w:numId w:val="2"/>
        </w:numPr>
      </w:pPr>
      <w:r>
        <w:t>TRO granted, Respondent must be served a copy</w:t>
      </w:r>
      <w:r w:rsidR="00125549">
        <w:t xml:space="preserve"> by the police</w:t>
      </w:r>
    </w:p>
    <w:p w:rsidR="00A9397D" w:rsidRDefault="00A9397D" w:rsidP="007F69FF">
      <w:pPr>
        <w:pStyle w:val="ListParagraph"/>
        <w:numPr>
          <w:ilvl w:val="2"/>
          <w:numId w:val="2"/>
        </w:numPr>
      </w:pPr>
      <w:r>
        <w:t>Hearing must be no later than 15 days after TRO is granted</w:t>
      </w:r>
    </w:p>
    <w:p w:rsidR="006D2309" w:rsidRDefault="006D2309" w:rsidP="007F69FF">
      <w:pPr>
        <w:pStyle w:val="ListParagraph"/>
        <w:numPr>
          <w:ilvl w:val="2"/>
          <w:numId w:val="2"/>
        </w:numPr>
      </w:pPr>
      <w:r>
        <w:t>TRO is effective after signed by judge but not enforceable until respondent is served</w:t>
      </w:r>
    </w:p>
    <w:p w:rsidR="00A9397D" w:rsidRDefault="006D2309" w:rsidP="006D2309">
      <w:pPr>
        <w:pStyle w:val="ListParagraph"/>
        <w:numPr>
          <w:ilvl w:val="1"/>
          <w:numId w:val="4"/>
        </w:numPr>
      </w:pPr>
      <w:r>
        <w:t>To extend the order</w:t>
      </w:r>
      <w:r>
        <w:tab/>
      </w:r>
    </w:p>
    <w:p w:rsidR="006D2309" w:rsidRDefault="006D2309" w:rsidP="006D2309">
      <w:pPr>
        <w:pStyle w:val="ListParagraph"/>
        <w:numPr>
          <w:ilvl w:val="2"/>
          <w:numId w:val="4"/>
        </w:numPr>
      </w:pPr>
      <w:r>
        <w:t>TRO/Injunction hearing is required</w:t>
      </w:r>
    </w:p>
    <w:p w:rsidR="00D37051" w:rsidRDefault="00D37051" w:rsidP="006D2309">
      <w:pPr>
        <w:pStyle w:val="ListParagraph"/>
        <w:numPr>
          <w:ilvl w:val="2"/>
          <w:numId w:val="4"/>
        </w:numPr>
      </w:pPr>
      <w:r>
        <w:t>Both parties have opportunity to present their case</w:t>
      </w:r>
    </w:p>
    <w:p w:rsidR="006D2309" w:rsidRDefault="006D2309" w:rsidP="006D2309">
      <w:pPr>
        <w:pStyle w:val="ListParagraph"/>
        <w:numPr>
          <w:ilvl w:val="2"/>
          <w:numId w:val="4"/>
        </w:numPr>
      </w:pPr>
      <w:r>
        <w:t>Judge can either d</w:t>
      </w:r>
      <w:r w:rsidR="00A9397D">
        <w:t>issolve TRO &amp; dismiss petition</w:t>
      </w:r>
      <w:r>
        <w:t xml:space="preserve"> OR i</w:t>
      </w:r>
      <w:r w:rsidR="00A9397D">
        <w:t>ssue an i</w:t>
      </w:r>
      <w:r>
        <w:t>njunctive order up to the max</w:t>
      </w:r>
      <w:r w:rsidR="00A9397D">
        <w:t xml:space="preserve"> 3 years</w:t>
      </w:r>
    </w:p>
    <w:p w:rsidR="006D2309" w:rsidRDefault="006D2309" w:rsidP="006D2309">
      <w:pPr>
        <w:pStyle w:val="ListParagraph"/>
        <w:numPr>
          <w:ilvl w:val="1"/>
          <w:numId w:val="4"/>
        </w:numPr>
      </w:pPr>
      <w:r>
        <w:t>Even with injunctive order, p</w:t>
      </w:r>
      <w:r w:rsidR="00A9397D">
        <w:t>etitioner should</w:t>
      </w:r>
      <w:r>
        <w:t xml:space="preserve"> take proper </w:t>
      </w:r>
      <w:r w:rsidR="00D37051">
        <w:t xml:space="preserve">safety </w:t>
      </w:r>
      <w:r>
        <w:t>precautions</w:t>
      </w:r>
    </w:p>
    <w:p w:rsidR="006D2309" w:rsidRDefault="006D2309" w:rsidP="006D2309">
      <w:pPr>
        <w:pStyle w:val="ListParagraph"/>
        <w:numPr>
          <w:ilvl w:val="0"/>
          <w:numId w:val="2"/>
        </w:numPr>
      </w:pPr>
      <w:r>
        <w:t xml:space="preserve"> Enforcement of the TRO</w:t>
      </w:r>
    </w:p>
    <w:p w:rsidR="00AA4B59" w:rsidRDefault="00AA4B59" w:rsidP="00AA4B59">
      <w:pPr>
        <w:pStyle w:val="ListParagraph"/>
        <w:numPr>
          <w:ilvl w:val="1"/>
          <w:numId w:val="2"/>
        </w:numPr>
      </w:pPr>
      <w:r>
        <w:t>Broken by:</w:t>
      </w:r>
    </w:p>
    <w:p w:rsidR="00AA4B59" w:rsidRDefault="00AA4B59" w:rsidP="00AA4B59">
      <w:pPr>
        <w:pStyle w:val="ListParagraph"/>
        <w:numPr>
          <w:ilvl w:val="2"/>
          <w:numId w:val="2"/>
        </w:numPr>
      </w:pPr>
      <w:r>
        <w:t>Contacting petitioner</w:t>
      </w:r>
    </w:p>
    <w:p w:rsidR="00AA4B59" w:rsidRDefault="00AA4B59" w:rsidP="00AA4B59">
      <w:pPr>
        <w:pStyle w:val="ListParagraph"/>
        <w:numPr>
          <w:ilvl w:val="2"/>
          <w:numId w:val="2"/>
        </w:numPr>
      </w:pPr>
      <w:r>
        <w:t>Coming to petitioner’s home or workplace</w:t>
      </w:r>
    </w:p>
    <w:p w:rsidR="00AA4B59" w:rsidRDefault="00AA4B59" w:rsidP="00AA4B59">
      <w:pPr>
        <w:pStyle w:val="ListParagraph"/>
        <w:numPr>
          <w:ilvl w:val="2"/>
          <w:numId w:val="2"/>
        </w:numPr>
      </w:pPr>
      <w:r>
        <w:lastRenderedPageBreak/>
        <w:t>Destroying petitioner’s property</w:t>
      </w:r>
    </w:p>
    <w:p w:rsidR="00AA4B59" w:rsidRDefault="00AA4B59" w:rsidP="00AA4B59">
      <w:pPr>
        <w:pStyle w:val="ListParagraph"/>
        <w:numPr>
          <w:ilvl w:val="2"/>
          <w:numId w:val="2"/>
        </w:numPr>
      </w:pPr>
      <w:r>
        <w:t>Threatening petitioner</w:t>
      </w:r>
    </w:p>
    <w:p w:rsidR="00AA4B59" w:rsidRDefault="00AA4B59" w:rsidP="00AA4B59">
      <w:pPr>
        <w:pStyle w:val="ListParagraph"/>
        <w:numPr>
          <w:ilvl w:val="2"/>
          <w:numId w:val="2"/>
        </w:numPr>
      </w:pPr>
      <w:r>
        <w:t>Coming within a certain distance</w:t>
      </w:r>
    </w:p>
    <w:p w:rsidR="00AA4B59" w:rsidRDefault="00AA4B59" w:rsidP="00AA4B59">
      <w:pPr>
        <w:pStyle w:val="ListParagraph"/>
        <w:numPr>
          <w:ilvl w:val="2"/>
          <w:numId w:val="2"/>
        </w:numPr>
      </w:pPr>
      <w:r>
        <w:t>Any other prohibited acts by TRO</w:t>
      </w:r>
    </w:p>
    <w:p w:rsidR="00AA4B59" w:rsidRDefault="00AA4B59" w:rsidP="00AA4B59">
      <w:pPr>
        <w:pStyle w:val="ListParagraph"/>
        <w:numPr>
          <w:ilvl w:val="1"/>
          <w:numId w:val="2"/>
        </w:numPr>
      </w:pPr>
      <w:r>
        <w:t>If broken, petitioner should report it to 911 immediately</w:t>
      </w:r>
    </w:p>
    <w:p w:rsidR="006D481B" w:rsidRDefault="006D481B" w:rsidP="006D481B"/>
    <w:p w:rsidR="006D481B" w:rsidRDefault="006D481B" w:rsidP="001004FD">
      <w:pPr>
        <w:pStyle w:val="Heading1"/>
      </w:pPr>
      <w:r>
        <w:t>Consumer Law &amp; Debt Collection</w:t>
      </w:r>
    </w:p>
    <w:p w:rsidR="00BC6E97" w:rsidRDefault="00D60235" w:rsidP="00B925DF">
      <w:pPr>
        <w:pStyle w:val="ListParagraph"/>
        <w:numPr>
          <w:ilvl w:val="0"/>
          <w:numId w:val="5"/>
        </w:numPr>
      </w:pPr>
      <w:proofErr w:type="spellStart"/>
      <w:r w:rsidRPr="00D60235">
        <w:rPr>
          <w:b/>
          <w:u w:val="single"/>
        </w:rPr>
        <w:t>Assumpsit</w:t>
      </w:r>
      <w:proofErr w:type="spellEnd"/>
      <w:r w:rsidR="00D338A0">
        <w:t xml:space="preserve">: </w:t>
      </w:r>
      <w:r w:rsidR="00B925DF">
        <w:t xml:space="preserve">Legal </w:t>
      </w:r>
      <w:r w:rsidR="00BC6E97">
        <w:t>process used to collect a debt from a borrower or to enforce a contractual obligation</w:t>
      </w:r>
    </w:p>
    <w:p w:rsidR="006D481B" w:rsidRDefault="006D481B" w:rsidP="00B925DF">
      <w:pPr>
        <w:pStyle w:val="ListParagraph"/>
        <w:numPr>
          <w:ilvl w:val="1"/>
          <w:numId w:val="5"/>
        </w:numPr>
      </w:pPr>
      <w:r w:rsidRPr="00D60235">
        <w:rPr>
          <w:b/>
          <w:u w:val="single"/>
        </w:rPr>
        <w:t>Debts</w:t>
      </w:r>
      <w:r>
        <w:t>:</w:t>
      </w:r>
    </w:p>
    <w:p w:rsidR="00BC6E97" w:rsidRDefault="00BC6E97" w:rsidP="00D37051">
      <w:pPr>
        <w:pStyle w:val="ListParagraph"/>
        <w:numPr>
          <w:ilvl w:val="2"/>
          <w:numId w:val="5"/>
        </w:numPr>
      </w:pPr>
      <w:r>
        <w:t xml:space="preserve">Contracts </w:t>
      </w:r>
      <w:r w:rsidR="00D37051">
        <w:t>or c</w:t>
      </w:r>
      <w:r>
        <w:t>redit obligations signed/cosigned</w:t>
      </w:r>
    </w:p>
    <w:p w:rsidR="00BC6E97" w:rsidRDefault="00BC6E97" w:rsidP="00B925DF">
      <w:pPr>
        <w:pStyle w:val="ListParagraph"/>
        <w:numPr>
          <w:ilvl w:val="2"/>
          <w:numId w:val="5"/>
        </w:numPr>
      </w:pPr>
      <w:r>
        <w:t>Medical services (even if covered by insurance)</w:t>
      </w:r>
    </w:p>
    <w:p w:rsidR="00BC6E97" w:rsidRDefault="00BC6E97" w:rsidP="00B925DF">
      <w:pPr>
        <w:pStyle w:val="ListParagraph"/>
        <w:numPr>
          <w:ilvl w:val="2"/>
          <w:numId w:val="5"/>
        </w:numPr>
      </w:pPr>
      <w:r>
        <w:t>Services provided by agreement (i.e. utilities)</w:t>
      </w:r>
    </w:p>
    <w:p w:rsidR="00BC6E97" w:rsidRDefault="00BC6E97" w:rsidP="00B925DF">
      <w:pPr>
        <w:pStyle w:val="ListParagraph"/>
        <w:numPr>
          <w:ilvl w:val="2"/>
          <w:numId w:val="5"/>
        </w:numPr>
      </w:pPr>
      <w:r>
        <w:t>A spouses necessities of life incurred during the marriage</w:t>
      </w:r>
    </w:p>
    <w:p w:rsidR="00BC6E97" w:rsidRDefault="00BC6E97" w:rsidP="00B925DF">
      <w:pPr>
        <w:pStyle w:val="ListParagraph"/>
        <w:numPr>
          <w:ilvl w:val="2"/>
          <w:numId w:val="5"/>
        </w:numPr>
      </w:pPr>
      <w:r>
        <w:t xml:space="preserve">Debts of one’s children </w:t>
      </w:r>
      <w:r w:rsidR="00D338A0">
        <w:t>and/</w:t>
      </w:r>
      <w:r>
        <w:t>or pets</w:t>
      </w:r>
    </w:p>
    <w:p w:rsidR="00BC6E97" w:rsidRDefault="00BC6E97" w:rsidP="00B925DF">
      <w:pPr>
        <w:pStyle w:val="ListParagraph"/>
        <w:numPr>
          <w:ilvl w:val="1"/>
          <w:numId w:val="5"/>
        </w:numPr>
      </w:pPr>
      <w:r w:rsidRPr="00D60235">
        <w:rPr>
          <w:b/>
          <w:u w:val="single"/>
        </w:rPr>
        <w:t>Creditor</w:t>
      </w:r>
      <w:r>
        <w:t xml:space="preserve">: Someone who is </w:t>
      </w:r>
      <w:r w:rsidRPr="00F76A1C">
        <w:rPr>
          <w:i/>
        </w:rPr>
        <w:t>owed</w:t>
      </w:r>
      <w:r>
        <w:t xml:space="preserve"> a debt</w:t>
      </w:r>
    </w:p>
    <w:p w:rsidR="00BC6E97" w:rsidRDefault="00BC6E97" w:rsidP="00B925DF">
      <w:pPr>
        <w:pStyle w:val="ListParagraph"/>
        <w:numPr>
          <w:ilvl w:val="1"/>
          <w:numId w:val="5"/>
        </w:numPr>
      </w:pPr>
      <w:r w:rsidRPr="00D60235">
        <w:rPr>
          <w:b/>
          <w:u w:val="single"/>
        </w:rPr>
        <w:t>Debtor</w:t>
      </w:r>
      <w:r>
        <w:t xml:space="preserve">: Someone who </w:t>
      </w:r>
      <w:r w:rsidRPr="00F76A1C">
        <w:rPr>
          <w:i/>
        </w:rPr>
        <w:t>owes</w:t>
      </w:r>
      <w:r>
        <w:t xml:space="preserve"> a debt </w:t>
      </w:r>
    </w:p>
    <w:p w:rsidR="007F4D16" w:rsidRDefault="007F4D16" w:rsidP="00B925DF">
      <w:pPr>
        <w:pStyle w:val="ListParagraph"/>
        <w:numPr>
          <w:ilvl w:val="1"/>
          <w:numId w:val="5"/>
        </w:numPr>
      </w:pPr>
      <w:r w:rsidRPr="00D60235">
        <w:rPr>
          <w:b/>
          <w:u w:val="single"/>
        </w:rPr>
        <w:t>Collection agency</w:t>
      </w:r>
      <w:r w:rsidRPr="007F4D16">
        <w:t>:</w:t>
      </w:r>
      <w:r>
        <w:t xml:space="preserve"> Third party that attempts to collect the debt when the creditor is unable to</w:t>
      </w:r>
    </w:p>
    <w:p w:rsidR="00BC6E97" w:rsidRPr="00D37051" w:rsidRDefault="00BC6E97" w:rsidP="00B925DF">
      <w:pPr>
        <w:pStyle w:val="ListParagraph"/>
        <w:numPr>
          <w:ilvl w:val="0"/>
          <w:numId w:val="5"/>
        </w:numPr>
        <w:rPr>
          <w:b/>
        </w:rPr>
      </w:pPr>
      <w:r w:rsidRPr="00D37051">
        <w:rPr>
          <w:b/>
        </w:rPr>
        <w:t>Rules for debt collection</w:t>
      </w:r>
      <w:r w:rsidR="00B925DF" w:rsidRPr="00D37051">
        <w:rPr>
          <w:b/>
        </w:rPr>
        <w:t>:</w:t>
      </w:r>
    </w:p>
    <w:p w:rsidR="00BC6E97" w:rsidRDefault="00BC6E97" w:rsidP="00B925DF">
      <w:pPr>
        <w:pStyle w:val="ListParagraph"/>
        <w:numPr>
          <w:ilvl w:val="1"/>
          <w:numId w:val="5"/>
        </w:numPr>
      </w:pPr>
      <w:r>
        <w:t>Creditors &amp; collection agencies must follow state and federal regulations under the Fair Debt Collection Practices Act</w:t>
      </w:r>
      <w:r w:rsidR="0074120D">
        <w:t xml:space="preserve"> (FDCPA)</w:t>
      </w:r>
    </w:p>
    <w:p w:rsidR="00BC6E97" w:rsidRPr="00B925DF" w:rsidRDefault="00BC6E97" w:rsidP="00B925DF">
      <w:pPr>
        <w:pStyle w:val="ListParagraph"/>
        <w:numPr>
          <w:ilvl w:val="1"/>
          <w:numId w:val="5"/>
        </w:numPr>
        <w:rPr>
          <w:b/>
        </w:rPr>
      </w:pPr>
      <w:r w:rsidRPr="00B925DF">
        <w:rPr>
          <w:b/>
        </w:rPr>
        <w:t xml:space="preserve">Creditors &amp; collection agencies are </w:t>
      </w:r>
      <w:r w:rsidRPr="00B925DF">
        <w:rPr>
          <w:b/>
          <w:u w:val="single"/>
        </w:rPr>
        <w:t>prohibited from</w:t>
      </w:r>
      <w:r w:rsidRPr="00B925DF">
        <w:rPr>
          <w:b/>
        </w:rPr>
        <w:t>:</w:t>
      </w:r>
    </w:p>
    <w:p w:rsidR="00BC6E97" w:rsidRDefault="00BC6E97" w:rsidP="00B925DF">
      <w:pPr>
        <w:pStyle w:val="ListParagraph"/>
        <w:numPr>
          <w:ilvl w:val="2"/>
          <w:numId w:val="5"/>
        </w:numPr>
      </w:pPr>
      <w:r>
        <w:t>Garnish</w:t>
      </w:r>
      <w:r w:rsidR="00A1670E">
        <w:t>ing</w:t>
      </w:r>
      <w:r>
        <w:t xml:space="preserve"> wages before obtaining judgment against debtor</w:t>
      </w:r>
    </w:p>
    <w:p w:rsidR="00BC6E97" w:rsidRDefault="00A1670E" w:rsidP="00B925DF">
      <w:pPr>
        <w:pStyle w:val="ListParagraph"/>
        <w:numPr>
          <w:ilvl w:val="2"/>
          <w:numId w:val="5"/>
        </w:numPr>
      </w:pPr>
      <w:r>
        <w:t>Taking</w:t>
      </w:r>
      <w:r w:rsidR="00BC6E97">
        <w:t xml:space="preserve"> any property unless it is used as collateral</w:t>
      </w:r>
      <w:r>
        <w:t xml:space="preserve"> for loan</w:t>
      </w:r>
      <w:r w:rsidR="00BC6E97">
        <w:t xml:space="preserve">/have a court order </w:t>
      </w:r>
    </w:p>
    <w:p w:rsidR="00A1670E" w:rsidRDefault="00A1670E" w:rsidP="00B925DF">
      <w:pPr>
        <w:pStyle w:val="ListParagraph"/>
        <w:numPr>
          <w:ilvl w:val="2"/>
          <w:numId w:val="5"/>
        </w:numPr>
      </w:pPr>
      <w:r>
        <w:t>Threatening to send debtor to jail</w:t>
      </w:r>
    </w:p>
    <w:p w:rsidR="00A1670E" w:rsidRDefault="00A1670E" w:rsidP="00B925DF">
      <w:pPr>
        <w:pStyle w:val="ListParagraph"/>
        <w:numPr>
          <w:ilvl w:val="2"/>
          <w:numId w:val="5"/>
        </w:numPr>
      </w:pPr>
      <w:r>
        <w:t>Threatening to have a debtor’s child taken away</w:t>
      </w:r>
    </w:p>
    <w:p w:rsidR="00B925DF" w:rsidRDefault="00A1670E" w:rsidP="00B925DF">
      <w:pPr>
        <w:pStyle w:val="ListParagraph"/>
        <w:numPr>
          <w:ilvl w:val="2"/>
          <w:numId w:val="5"/>
        </w:numPr>
      </w:pPr>
      <w:r>
        <w:t xml:space="preserve">Harassing a debtor </w:t>
      </w:r>
    </w:p>
    <w:p w:rsidR="00A1670E" w:rsidRDefault="00A1670E" w:rsidP="00B925DF">
      <w:pPr>
        <w:pStyle w:val="ListParagraph"/>
        <w:numPr>
          <w:ilvl w:val="3"/>
          <w:numId w:val="5"/>
        </w:numPr>
      </w:pPr>
      <w:r>
        <w:t>i.e. calling at unreasonable hours, repeated communicat</w:t>
      </w:r>
      <w:r w:rsidR="00D37051">
        <w:t>ion with intent to annoy/harass</w:t>
      </w:r>
    </w:p>
    <w:p w:rsidR="00D338A0" w:rsidRDefault="00D338A0" w:rsidP="00B925DF">
      <w:pPr>
        <w:pStyle w:val="ListParagraph"/>
        <w:numPr>
          <w:ilvl w:val="2"/>
          <w:numId w:val="5"/>
        </w:numPr>
      </w:pPr>
      <w:r>
        <w:t>Telling third parties about the debt or collecting the debt</w:t>
      </w:r>
    </w:p>
    <w:p w:rsidR="00331246" w:rsidRDefault="00A11FC0" w:rsidP="00B925DF">
      <w:pPr>
        <w:pStyle w:val="ListParagraph"/>
        <w:numPr>
          <w:ilvl w:val="3"/>
          <w:numId w:val="5"/>
        </w:numPr>
      </w:pPr>
      <w:r>
        <w:t xml:space="preserve">i.e. </w:t>
      </w:r>
      <w:r w:rsidR="00331246">
        <w:t xml:space="preserve">cannot </w:t>
      </w:r>
      <w:r>
        <w:t>contact</w:t>
      </w:r>
      <w:r w:rsidR="00331246">
        <w:t xml:space="preserve"> employers or other members of the household </w:t>
      </w:r>
      <w:r>
        <w:t>even when unable to get into contact with the debtor – violation of</w:t>
      </w:r>
      <w:r w:rsidR="00D37051">
        <w:t xml:space="preserve"> FDCPA</w:t>
      </w:r>
    </w:p>
    <w:p w:rsidR="00A11FC0" w:rsidRDefault="00A11FC0" w:rsidP="00B925DF">
      <w:pPr>
        <w:pStyle w:val="ListParagraph"/>
        <w:numPr>
          <w:ilvl w:val="2"/>
          <w:numId w:val="5"/>
        </w:numPr>
      </w:pPr>
      <w:r>
        <w:t>Using obscene or profane language</w:t>
      </w:r>
    </w:p>
    <w:p w:rsidR="00A11FC0" w:rsidRDefault="00A11FC0" w:rsidP="00B925DF">
      <w:pPr>
        <w:pStyle w:val="ListParagraph"/>
        <w:numPr>
          <w:ilvl w:val="2"/>
          <w:numId w:val="5"/>
        </w:numPr>
      </w:pPr>
      <w:r>
        <w:t>Threatening to take legal action UNLESS they intend to take the action and have the legal right to take the action</w:t>
      </w:r>
    </w:p>
    <w:p w:rsidR="00A11FC0" w:rsidRDefault="00A11FC0" w:rsidP="00B925DF">
      <w:pPr>
        <w:pStyle w:val="ListParagraph"/>
        <w:numPr>
          <w:ilvl w:val="2"/>
          <w:numId w:val="5"/>
        </w:numPr>
      </w:pPr>
      <w:r>
        <w:t>Lying about the amount that is owed in an attempt to collect more fees</w:t>
      </w:r>
    </w:p>
    <w:p w:rsidR="00A11FC0" w:rsidRPr="00B925DF" w:rsidRDefault="007F4D16" w:rsidP="00B925DF">
      <w:pPr>
        <w:pStyle w:val="ListParagraph"/>
        <w:numPr>
          <w:ilvl w:val="1"/>
          <w:numId w:val="5"/>
        </w:numPr>
        <w:rPr>
          <w:b/>
        </w:rPr>
      </w:pPr>
      <w:r w:rsidRPr="00B925DF">
        <w:rPr>
          <w:b/>
        </w:rPr>
        <w:t xml:space="preserve">Under the affirmative duties, collection agencies </w:t>
      </w:r>
      <w:r w:rsidRPr="00B925DF">
        <w:rPr>
          <w:b/>
          <w:u w:val="single"/>
        </w:rPr>
        <w:t>must</w:t>
      </w:r>
      <w:r w:rsidRPr="00B925DF">
        <w:rPr>
          <w:b/>
        </w:rPr>
        <w:t>:</w:t>
      </w:r>
    </w:p>
    <w:p w:rsidR="007F4D16" w:rsidRDefault="007F4D16" w:rsidP="00B925DF">
      <w:pPr>
        <w:pStyle w:val="ListParagraph"/>
        <w:numPr>
          <w:ilvl w:val="2"/>
          <w:numId w:val="5"/>
        </w:numPr>
      </w:pPr>
      <w:r>
        <w:t xml:space="preserve">Give their company name, the name &amp; address of original creditor – if asked by debtor </w:t>
      </w:r>
    </w:p>
    <w:p w:rsidR="007F4D16" w:rsidRDefault="007F4D16" w:rsidP="00B925DF">
      <w:pPr>
        <w:pStyle w:val="ListParagraph"/>
        <w:numPr>
          <w:ilvl w:val="2"/>
          <w:numId w:val="5"/>
        </w:numPr>
      </w:pPr>
      <w:r>
        <w:t>In all forms of communication, must indicate they are making contact about the debt &amp; all info</w:t>
      </w:r>
      <w:r w:rsidR="00F76A1C">
        <w:t xml:space="preserve"> received</w:t>
      </w:r>
      <w:r>
        <w:t xml:space="preserve"> will be used to collect the debt</w:t>
      </w:r>
    </w:p>
    <w:p w:rsidR="007F4D16" w:rsidRDefault="007F4D16" w:rsidP="00B925DF">
      <w:pPr>
        <w:pStyle w:val="ListParagraph"/>
        <w:numPr>
          <w:ilvl w:val="2"/>
          <w:numId w:val="5"/>
        </w:numPr>
      </w:pPr>
      <w:r>
        <w:t>Mail a letter within 5 business days from the first contact by phone stating:</w:t>
      </w:r>
    </w:p>
    <w:p w:rsidR="007F4D16" w:rsidRDefault="007F4D16" w:rsidP="00B925DF">
      <w:pPr>
        <w:pStyle w:val="ListParagraph"/>
        <w:numPr>
          <w:ilvl w:val="3"/>
          <w:numId w:val="5"/>
        </w:numPr>
      </w:pPr>
      <w:r>
        <w:t>Total amount of debt</w:t>
      </w:r>
    </w:p>
    <w:p w:rsidR="007F4D16" w:rsidRDefault="007F4D16" w:rsidP="00B925DF">
      <w:pPr>
        <w:pStyle w:val="ListParagraph"/>
        <w:numPr>
          <w:ilvl w:val="3"/>
          <w:numId w:val="5"/>
        </w:numPr>
      </w:pPr>
      <w:r>
        <w:t>Name &amp; address of collection agency</w:t>
      </w:r>
    </w:p>
    <w:p w:rsidR="007F4D16" w:rsidRDefault="007F4D16" w:rsidP="00B925DF">
      <w:pPr>
        <w:pStyle w:val="ListParagraph"/>
        <w:numPr>
          <w:ilvl w:val="3"/>
          <w:numId w:val="5"/>
        </w:numPr>
      </w:pPr>
      <w:r>
        <w:lastRenderedPageBreak/>
        <w:t>Name of original creditor</w:t>
      </w:r>
    </w:p>
    <w:p w:rsidR="007F4D16" w:rsidRDefault="007F4D16" w:rsidP="00B925DF">
      <w:pPr>
        <w:pStyle w:val="ListParagraph"/>
        <w:numPr>
          <w:ilvl w:val="3"/>
          <w:numId w:val="5"/>
        </w:numPr>
      </w:pPr>
      <w:r>
        <w:t xml:space="preserve">Notice explaining </w:t>
      </w:r>
      <w:r w:rsidR="00BE1291">
        <w:t>the borrower has 30 days to mail a letter either disputing the debt and/or asking for verification of the debt</w:t>
      </w:r>
      <w:r>
        <w:t xml:space="preserve"> </w:t>
      </w:r>
    </w:p>
    <w:p w:rsidR="00BE1291" w:rsidRDefault="00BE1291" w:rsidP="00B925DF">
      <w:pPr>
        <w:pStyle w:val="ListParagraph"/>
        <w:numPr>
          <w:ilvl w:val="2"/>
          <w:numId w:val="5"/>
        </w:numPr>
      </w:pPr>
      <w:r>
        <w:t>Be licensed or registered to do business in Hawaii</w:t>
      </w:r>
      <w:r w:rsidR="00677CC9">
        <w:t xml:space="preserve">; contact </w:t>
      </w:r>
      <w:r w:rsidR="00F76A1C">
        <w:t>587-</w:t>
      </w:r>
      <w:r w:rsidR="00677CC9">
        <w:t>3222 to verify</w:t>
      </w:r>
    </w:p>
    <w:p w:rsidR="00BE1291" w:rsidRDefault="00BE1291" w:rsidP="00B925DF">
      <w:pPr>
        <w:pStyle w:val="ListParagraph"/>
        <w:numPr>
          <w:ilvl w:val="2"/>
          <w:numId w:val="5"/>
        </w:numPr>
      </w:pPr>
      <w:r>
        <w:t xml:space="preserve">If any of the above are violated by creditor/collection agency there are grounds to file a lawsuit and/or counterclaims </w:t>
      </w:r>
    </w:p>
    <w:p w:rsidR="00BE1291" w:rsidRPr="00B925DF" w:rsidRDefault="00BE1291" w:rsidP="00B925DF">
      <w:pPr>
        <w:pStyle w:val="ListParagraph"/>
        <w:numPr>
          <w:ilvl w:val="1"/>
          <w:numId w:val="5"/>
        </w:numPr>
        <w:rPr>
          <w:b/>
        </w:rPr>
      </w:pPr>
      <w:r w:rsidRPr="00B925DF">
        <w:rPr>
          <w:b/>
        </w:rPr>
        <w:t>If debt is validated and borrower is unwilling to pay debt, creditor and collection agency can:</w:t>
      </w:r>
    </w:p>
    <w:p w:rsidR="00BE1291" w:rsidRDefault="00BE1291" w:rsidP="00B925DF">
      <w:pPr>
        <w:pStyle w:val="ListParagraph"/>
        <w:numPr>
          <w:ilvl w:val="2"/>
          <w:numId w:val="5"/>
        </w:numPr>
      </w:pPr>
      <w:r>
        <w:t>Repossess and sell any goods that are collateral for the loan</w:t>
      </w:r>
    </w:p>
    <w:p w:rsidR="00BE1291" w:rsidRDefault="00BE1291" w:rsidP="00B925DF">
      <w:pPr>
        <w:pStyle w:val="ListParagraph"/>
        <w:numPr>
          <w:ilvl w:val="3"/>
          <w:numId w:val="5"/>
        </w:numPr>
      </w:pPr>
      <w:r>
        <w:t>If goods are sold for less than what is owed, borrower may still owe the difference</w:t>
      </w:r>
    </w:p>
    <w:p w:rsidR="00BE1291" w:rsidRDefault="00BE1291" w:rsidP="00B925DF">
      <w:pPr>
        <w:pStyle w:val="ListParagraph"/>
        <w:numPr>
          <w:ilvl w:val="2"/>
          <w:numId w:val="5"/>
        </w:numPr>
      </w:pPr>
      <w:r>
        <w:t>Call or write letters in an attempt to get debt paid</w:t>
      </w:r>
      <w:r w:rsidR="00677CC9">
        <w:t xml:space="preserve"> – under FDCPA</w:t>
      </w:r>
    </w:p>
    <w:p w:rsidR="00BE1291" w:rsidRDefault="00BE1291" w:rsidP="00B925DF">
      <w:pPr>
        <w:pStyle w:val="ListParagraph"/>
        <w:numPr>
          <w:ilvl w:val="2"/>
          <w:numId w:val="5"/>
        </w:numPr>
      </w:pPr>
      <w:r>
        <w:t>File suit in court</w:t>
      </w:r>
    </w:p>
    <w:p w:rsidR="00BE1291" w:rsidRDefault="00BE1291" w:rsidP="00B925DF">
      <w:pPr>
        <w:pStyle w:val="ListParagraph"/>
        <w:numPr>
          <w:ilvl w:val="2"/>
          <w:numId w:val="5"/>
        </w:numPr>
      </w:pPr>
      <w:r>
        <w:t>Refuse to do business with the borrower</w:t>
      </w:r>
    </w:p>
    <w:p w:rsidR="001004FD" w:rsidRDefault="001004FD" w:rsidP="00B925DF">
      <w:pPr>
        <w:pStyle w:val="ListParagraph"/>
        <w:numPr>
          <w:ilvl w:val="2"/>
          <w:numId w:val="5"/>
        </w:numPr>
      </w:pPr>
      <w:r>
        <w:t xml:space="preserve">With a court order, take wages </w:t>
      </w:r>
      <w:r w:rsidR="00677CC9">
        <w:t>via set off/garnishment</w:t>
      </w:r>
    </w:p>
    <w:p w:rsidR="001004FD" w:rsidRDefault="001004FD" w:rsidP="00B925DF">
      <w:pPr>
        <w:pStyle w:val="ListParagraph"/>
        <w:numPr>
          <w:ilvl w:val="0"/>
          <w:numId w:val="5"/>
        </w:numPr>
      </w:pPr>
      <w:r>
        <w:t>Court Process</w:t>
      </w:r>
    </w:p>
    <w:p w:rsidR="001004FD" w:rsidRDefault="001004FD" w:rsidP="00B925DF">
      <w:pPr>
        <w:pStyle w:val="ListParagraph"/>
        <w:numPr>
          <w:ilvl w:val="1"/>
          <w:numId w:val="5"/>
        </w:numPr>
      </w:pPr>
      <w:r>
        <w:t>Borrower unable/refuses to pay debt</w:t>
      </w:r>
    </w:p>
    <w:p w:rsidR="00BE5698" w:rsidRDefault="00BE5698" w:rsidP="00B925DF">
      <w:pPr>
        <w:pStyle w:val="ListParagraph"/>
        <w:numPr>
          <w:ilvl w:val="1"/>
          <w:numId w:val="5"/>
        </w:numPr>
      </w:pPr>
      <w:r w:rsidRPr="00D60235">
        <w:rPr>
          <w:b/>
          <w:u w:val="single"/>
        </w:rPr>
        <w:t>Answer date</w:t>
      </w:r>
      <w:r>
        <w:t xml:space="preserve"> – tell the court if borrower admits/denies the allegations</w:t>
      </w:r>
    </w:p>
    <w:p w:rsidR="00677CC9" w:rsidRDefault="00677CC9" w:rsidP="00677CC9">
      <w:pPr>
        <w:pStyle w:val="ListParagraph"/>
        <w:numPr>
          <w:ilvl w:val="2"/>
          <w:numId w:val="5"/>
        </w:numPr>
      </w:pPr>
      <w:r>
        <w:t>Admit – immediate judgement is given</w:t>
      </w:r>
    </w:p>
    <w:p w:rsidR="00677CC9" w:rsidRDefault="00677CC9" w:rsidP="00677CC9">
      <w:pPr>
        <w:pStyle w:val="ListParagraph"/>
        <w:numPr>
          <w:ilvl w:val="2"/>
          <w:numId w:val="5"/>
        </w:numPr>
      </w:pPr>
      <w:r>
        <w:t>Deny – next hearing is scheduled</w:t>
      </w:r>
    </w:p>
    <w:p w:rsidR="00BE5698" w:rsidRDefault="00BE5698" w:rsidP="00B925DF">
      <w:pPr>
        <w:pStyle w:val="ListParagraph"/>
        <w:numPr>
          <w:ilvl w:val="1"/>
          <w:numId w:val="5"/>
        </w:numPr>
      </w:pPr>
      <w:r w:rsidRPr="00D60235">
        <w:rPr>
          <w:b/>
          <w:u w:val="single"/>
        </w:rPr>
        <w:t>Pre-trial</w:t>
      </w:r>
      <w:r>
        <w:t xml:space="preserve"> – gives opportunity for two parties to come to an agreement outside of court</w:t>
      </w:r>
    </w:p>
    <w:p w:rsidR="00BE5698" w:rsidRDefault="00BE5698" w:rsidP="00B925DF">
      <w:pPr>
        <w:pStyle w:val="ListParagraph"/>
        <w:numPr>
          <w:ilvl w:val="2"/>
          <w:numId w:val="5"/>
        </w:numPr>
      </w:pPr>
      <w:r>
        <w:t>Court will confirm the settlement and dismiss both parties</w:t>
      </w:r>
    </w:p>
    <w:p w:rsidR="00BE5698" w:rsidRDefault="00BE5698" w:rsidP="00677CC9">
      <w:pPr>
        <w:pStyle w:val="ListParagraph"/>
        <w:numPr>
          <w:ilvl w:val="2"/>
          <w:numId w:val="5"/>
        </w:numPr>
      </w:pPr>
      <w:r>
        <w:t>If not settlement is reached, another hearing will be scheduled for the trial</w:t>
      </w:r>
    </w:p>
    <w:p w:rsidR="001004FD" w:rsidRDefault="00677CC9" w:rsidP="00394C48">
      <w:pPr>
        <w:pStyle w:val="ListParagraph"/>
        <w:numPr>
          <w:ilvl w:val="1"/>
          <w:numId w:val="5"/>
        </w:numPr>
      </w:pPr>
      <w:r>
        <w:t>If either borrower or creditor is not present for any of the court hearings, party that is present is given judgement by default</w:t>
      </w:r>
    </w:p>
    <w:p w:rsidR="00677CC9" w:rsidRDefault="00677CC9" w:rsidP="00677CC9">
      <w:pPr>
        <w:pStyle w:val="ListParagraph"/>
        <w:numPr>
          <w:ilvl w:val="1"/>
          <w:numId w:val="5"/>
        </w:numPr>
      </w:pPr>
      <w:r w:rsidRPr="00D60235">
        <w:rPr>
          <w:b/>
          <w:u w:val="single"/>
        </w:rPr>
        <w:t>Post-judgement collection</w:t>
      </w:r>
      <w:r>
        <w:t xml:space="preserve"> – Means </w:t>
      </w:r>
      <w:r w:rsidR="00D60235">
        <w:t xml:space="preserve">a </w:t>
      </w:r>
      <w:r>
        <w:t xml:space="preserve">Creditor can </w:t>
      </w:r>
      <w:r w:rsidR="00D60235">
        <w:t>use</w:t>
      </w:r>
      <w:bookmarkStart w:id="0" w:name="_GoBack"/>
      <w:bookmarkEnd w:id="0"/>
      <w:r>
        <w:t xml:space="preserve"> to collect:</w:t>
      </w:r>
    </w:p>
    <w:p w:rsidR="00677CC9" w:rsidRDefault="00677CC9" w:rsidP="00677CC9">
      <w:pPr>
        <w:pStyle w:val="ListParagraph"/>
        <w:numPr>
          <w:ilvl w:val="2"/>
          <w:numId w:val="5"/>
        </w:numPr>
      </w:pPr>
      <w:r>
        <w:t xml:space="preserve">Examination of judgement </w:t>
      </w:r>
      <w:r w:rsidR="003B0442">
        <w:t>debtor</w:t>
      </w:r>
      <w:r>
        <w:t xml:space="preserve"> </w:t>
      </w:r>
    </w:p>
    <w:p w:rsidR="00677CC9" w:rsidRDefault="00677CC9" w:rsidP="00677CC9">
      <w:pPr>
        <w:pStyle w:val="ListParagraph"/>
        <w:numPr>
          <w:ilvl w:val="3"/>
          <w:numId w:val="5"/>
        </w:numPr>
      </w:pPr>
      <w:r>
        <w:t xml:space="preserve">Find </w:t>
      </w:r>
      <w:r w:rsidR="003B0442">
        <w:t xml:space="preserve">out what is owed; place of employment; sources of income; and </w:t>
      </w:r>
      <w:r>
        <w:t>where bank accounts are to collect on debt</w:t>
      </w:r>
    </w:p>
    <w:p w:rsidR="003B0442" w:rsidRDefault="003B0442" w:rsidP="003B0442">
      <w:pPr>
        <w:pStyle w:val="ListParagraph"/>
        <w:numPr>
          <w:ilvl w:val="2"/>
          <w:numId w:val="5"/>
        </w:numPr>
      </w:pPr>
      <w:r>
        <w:t xml:space="preserve">Bench warrant can be placed on debtor if he/she does not go to examination </w:t>
      </w:r>
    </w:p>
    <w:p w:rsidR="003B0442" w:rsidRDefault="003B0442" w:rsidP="003B0442">
      <w:pPr>
        <w:pStyle w:val="ListParagraph"/>
        <w:numPr>
          <w:ilvl w:val="2"/>
          <w:numId w:val="5"/>
        </w:numPr>
      </w:pPr>
      <w:r>
        <w:t>Garnish a portion of wages</w:t>
      </w:r>
    </w:p>
    <w:p w:rsidR="003B0442" w:rsidRDefault="003B0442" w:rsidP="003B0442">
      <w:pPr>
        <w:pStyle w:val="ListParagraph"/>
        <w:numPr>
          <w:ilvl w:val="2"/>
          <w:numId w:val="5"/>
        </w:numPr>
      </w:pPr>
      <w:r>
        <w:t>Place a lien</w:t>
      </w:r>
      <w:r w:rsidR="00C80026">
        <w:t xml:space="preserve"> on</w:t>
      </w:r>
      <w:r>
        <w:t xml:space="preserve"> </w:t>
      </w:r>
      <w:r w:rsidR="00C80026">
        <w:t>any real or personal property worth over $1,000</w:t>
      </w:r>
      <w:r>
        <w:t xml:space="preserve"> </w:t>
      </w:r>
    </w:p>
    <w:p w:rsidR="00C80026" w:rsidRPr="00116F4E" w:rsidRDefault="00C80026" w:rsidP="00C80026">
      <w:pPr>
        <w:pStyle w:val="ListParagraph"/>
        <w:numPr>
          <w:ilvl w:val="1"/>
          <w:numId w:val="5"/>
        </w:numPr>
        <w:rPr>
          <w:u w:val="single"/>
        </w:rPr>
      </w:pPr>
      <w:r w:rsidRPr="00D60235">
        <w:rPr>
          <w:b/>
          <w:u w:val="single"/>
        </w:rPr>
        <w:t>Judgement proof</w:t>
      </w:r>
      <w:r w:rsidRPr="00116F4E">
        <w:rPr>
          <w:u w:val="single"/>
        </w:rPr>
        <w:t>:</w:t>
      </w:r>
    </w:p>
    <w:p w:rsidR="00C80026" w:rsidRDefault="00C80026" w:rsidP="00C80026">
      <w:pPr>
        <w:pStyle w:val="ListParagraph"/>
        <w:numPr>
          <w:ilvl w:val="2"/>
          <w:numId w:val="5"/>
        </w:numPr>
      </w:pPr>
      <w:r>
        <w:t>Certain sources of income that are protected by law and cannot be collected</w:t>
      </w:r>
    </w:p>
    <w:p w:rsidR="00C80026" w:rsidRPr="00116F4E" w:rsidRDefault="00C80026" w:rsidP="00116F4E">
      <w:pPr>
        <w:pStyle w:val="ListParagraph"/>
        <w:numPr>
          <w:ilvl w:val="3"/>
          <w:numId w:val="5"/>
        </w:numPr>
        <w:rPr>
          <w:u w:val="single"/>
        </w:rPr>
      </w:pPr>
      <w:r w:rsidRPr="00D60235">
        <w:rPr>
          <w:b/>
          <w:u w:val="single"/>
        </w:rPr>
        <w:t>Protected income</w:t>
      </w:r>
      <w:r w:rsidRPr="00116F4E">
        <w:rPr>
          <w:u w:val="single"/>
        </w:rPr>
        <w:t>:</w:t>
      </w:r>
    </w:p>
    <w:p w:rsidR="00C80026" w:rsidRDefault="00C80026" w:rsidP="00116F4E">
      <w:pPr>
        <w:pStyle w:val="ListParagraph"/>
        <w:numPr>
          <w:ilvl w:val="4"/>
          <w:numId w:val="5"/>
        </w:numPr>
      </w:pPr>
      <w:r>
        <w:t>Welfare, supplemental security income, social security, social security and disability, temporary disability, unemployment compensation, workers compensation, pensions for government employees, most private pensions, veteran’s benefits, and child support</w:t>
      </w:r>
    </w:p>
    <w:p w:rsidR="00C80026" w:rsidRDefault="00C80026" w:rsidP="00116F4E">
      <w:pPr>
        <w:pStyle w:val="ListParagraph"/>
        <w:numPr>
          <w:ilvl w:val="4"/>
          <w:numId w:val="5"/>
        </w:numPr>
      </w:pPr>
      <w:r>
        <w:t>If these are the only sources of income, the judgement cannot collect</w:t>
      </w:r>
    </w:p>
    <w:p w:rsidR="00C80026" w:rsidRDefault="00C80026" w:rsidP="00116F4E">
      <w:pPr>
        <w:pStyle w:val="ListParagraph"/>
        <w:numPr>
          <w:ilvl w:val="4"/>
          <w:numId w:val="5"/>
        </w:numPr>
      </w:pPr>
      <w:r>
        <w:t>If creditor mistakenly tries to garnish money from bank account (assumes it is unprotected)</w:t>
      </w:r>
      <w:r w:rsidR="00116F4E">
        <w:t xml:space="preserve"> b</w:t>
      </w:r>
      <w:r>
        <w:t>ank must freeze account to determine if protected or not</w:t>
      </w:r>
    </w:p>
    <w:p w:rsidR="00116F4E" w:rsidRDefault="00116F4E" w:rsidP="00116F4E">
      <w:pPr>
        <w:pStyle w:val="ListParagraph"/>
        <w:numPr>
          <w:ilvl w:val="2"/>
          <w:numId w:val="5"/>
        </w:numPr>
      </w:pPr>
      <w:r>
        <w:t>Through employment, debtor is earning less than $217.50/week (after taxes)</w:t>
      </w:r>
    </w:p>
    <w:p w:rsidR="00DA401D" w:rsidRDefault="00116F4E" w:rsidP="00DA401D">
      <w:pPr>
        <w:pStyle w:val="ListParagraph"/>
        <w:numPr>
          <w:ilvl w:val="2"/>
          <w:numId w:val="5"/>
        </w:numPr>
      </w:pPr>
      <w:r>
        <w:t>An account at a bank that a debtor also owes money to</w:t>
      </w:r>
      <w:r w:rsidR="00DA401D">
        <w:t>; Bank has right to set off the debt</w:t>
      </w:r>
    </w:p>
    <w:p w:rsidR="00DA401D" w:rsidRDefault="00116F4E" w:rsidP="00116F4E">
      <w:pPr>
        <w:pStyle w:val="ListParagraph"/>
        <w:numPr>
          <w:ilvl w:val="3"/>
          <w:numId w:val="5"/>
        </w:numPr>
      </w:pPr>
      <w:r w:rsidRPr="00D60235">
        <w:rPr>
          <w:b/>
          <w:u w:val="single"/>
        </w:rPr>
        <w:t>Set off</w:t>
      </w:r>
      <w:r w:rsidRPr="00DA401D">
        <w:rPr>
          <w:u w:val="single"/>
        </w:rPr>
        <w:t>:</w:t>
      </w:r>
      <w:r>
        <w:t xml:space="preserve"> </w:t>
      </w:r>
    </w:p>
    <w:p w:rsidR="00DA401D" w:rsidRDefault="00DA401D" w:rsidP="00DA401D">
      <w:pPr>
        <w:pStyle w:val="ListParagraph"/>
        <w:numPr>
          <w:ilvl w:val="4"/>
          <w:numId w:val="5"/>
        </w:numPr>
      </w:pPr>
      <w:r>
        <w:t>Seize the money that is owed by the debtor directly from the bank account</w:t>
      </w:r>
    </w:p>
    <w:p w:rsidR="00DA401D" w:rsidRDefault="00DA401D" w:rsidP="00DA401D">
      <w:pPr>
        <w:pStyle w:val="ListParagraph"/>
        <w:numPr>
          <w:ilvl w:val="0"/>
          <w:numId w:val="5"/>
        </w:numPr>
      </w:pPr>
      <w:r>
        <w:lastRenderedPageBreak/>
        <w:t>Once debts have been paid off</w:t>
      </w:r>
    </w:p>
    <w:p w:rsidR="00DA401D" w:rsidRDefault="00DA401D" w:rsidP="00DA401D">
      <w:pPr>
        <w:pStyle w:val="ListParagraph"/>
        <w:numPr>
          <w:ilvl w:val="1"/>
          <w:numId w:val="5"/>
        </w:numPr>
      </w:pPr>
      <w:r>
        <w:t xml:space="preserve">Creditor files for satisfaction of judgement, releasing debtor from obligation of collection or seizures </w:t>
      </w:r>
    </w:p>
    <w:p w:rsidR="00DA401D" w:rsidRDefault="00DA401D" w:rsidP="00DA401D">
      <w:pPr>
        <w:pStyle w:val="ListParagraph"/>
        <w:numPr>
          <w:ilvl w:val="0"/>
          <w:numId w:val="5"/>
        </w:numPr>
      </w:pPr>
      <w:r>
        <w:t>Statute of Limitations</w:t>
      </w:r>
    </w:p>
    <w:p w:rsidR="00DA401D" w:rsidRDefault="00DA401D" w:rsidP="00DA401D">
      <w:pPr>
        <w:pStyle w:val="ListParagraph"/>
        <w:numPr>
          <w:ilvl w:val="1"/>
          <w:numId w:val="5"/>
        </w:numPr>
      </w:pPr>
      <w:r>
        <w:t>6 years</w:t>
      </w:r>
      <w:r w:rsidR="008B44D2">
        <w:t xml:space="preserve"> for debt collection</w:t>
      </w:r>
    </w:p>
    <w:p w:rsidR="00DA401D" w:rsidRDefault="00DA401D" w:rsidP="00DA401D">
      <w:pPr>
        <w:pStyle w:val="ListParagraph"/>
        <w:numPr>
          <w:ilvl w:val="1"/>
          <w:numId w:val="5"/>
        </w:numPr>
      </w:pPr>
      <w:r>
        <w:t>Domestic judgement has expiration date of 10 years</w:t>
      </w:r>
      <w:r w:rsidR="009D6D3F">
        <w:t>; possible to renew judgement another 10 years</w:t>
      </w:r>
    </w:p>
    <w:p w:rsidR="00DA401D" w:rsidRDefault="00DA401D" w:rsidP="00DA401D">
      <w:pPr>
        <w:pStyle w:val="ListParagraph"/>
        <w:numPr>
          <w:ilvl w:val="1"/>
          <w:numId w:val="5"/>
        </w:numPr>
      </w:pPr>
      <w:r>
        <w:t>Foreign judgement must be registered within 4 years from original judgement</w:t>
      </w:r>
    </w:p>
    <w:p w:rsidR="00BE5698" w:rsidRDefault="00BE5698" w:rsidP="009D6D3F">
      <w:pPr>
        <w:pStyle w:val="Heading1"/>
      </w:pPr>
      <w:r>
        <w:t>Q&amp;A Oahu First Circuit &amp; District Court</w:t>
      </w:r>
    </w:p>
    <w:p w:rsidR="00BB4465" w:rsidRDefault="00BB4465" w:rsidP="00BB4465">
      <w:pPr>
        <w:pStyle w:val="ListParagraph"/>
        <w:ind w:left="360"/>
      </w:pPr>
      <w:r>
        <w:t>District Court TRO</w:t>
      </w:r>
    </w:p>
    <w:p w:rsidR="00BB4465" w:rsidRDefault="0041418B" w:rsidP="009D6D3F">
      <w:pPr>
        <w:pStyle w:val="ListParagraph"/>
        <w:numPr>
          <w:ilvl w:val="0"/>
          <w:numId w:val="6"/>
        </w:numPr>
      </w:pPr>
      <w:r>
        <w:t>Many misconceptions about what the court is able to do through the TRO</w:t>
      </w:r>
    </w:p>
    <w:p w:rsidR="00CF4168" w:rsidRDefault="00CF4168" w:rsidP="00CF4168">
      <w:pPr>
        <w:pStyle w:val="ListParagraph"/>
        <w:numPr>
          <w:ilvl w:val="1"/>
          <w:numId w:val="6"/>
        </w:numPr>
      </w:pPr>
      <w:r>
        <w:t>Go over statute of limitations and encourage mediation</w:t>
      </w:r>
    </w:p>
    <w:p w:rsidR="0041418B" w:rsidRDefault="0041418B" w:rsidP="0041418B">
      <w:pPr>
        <w:pStyle w:val="ListParagraph"/>
        <w:numPr>
          <w:ilvl w:val="0"/>
          <w:numId w:val="6"/>
        </w:numPr>
      </w:pPr>
      <w:r>
        <w:t>For injunction must show threat of future harm</w:t>
      </w:r>
    </w:p>
    <w:p w:rsidR="0041418B" w:rsidRDefault="0041418B" w:rsidP="0041418B">
      <w:pPr>
        <w:pStyle w:val="ListParagraph"/>
        <w:numPr>
          <w:ilvl w:val="1"/>
          <w:numId w:val="6"/>
        </w:numPr>
      </w:pPr>
      <w:r>
        <w:t>Without threat of future harm, injunction may not be granted</w:t>
      </w:r>
    </w:p>
    <w:p w:rsidR="00BB4465" w:rsidRDefault="00BB4465" w:rsidP="00BB4465">
      <w:pPr>
        <w:pStyle w:val="ListParagraph"/>
        <w:ind w:left="360"/>
      </w:pPr>
    </w:p>
    <w:p w:rsidR="00BB4465" w:rsidRDefault="00BB4465" w:rsidP="00BB4465">
      <w:pPr>
        <w:pStyle w:val="ListParagraph"/>
        <w:ind w:left="360"/>
      </w:pPr>
      <w:r>
        <w:t>Consumer Law</w:t>
      </w:r>
    </w:p>
    <w:p w:rsidR="009D6D3F" w:rsidRDefault="009D6D3F" w:rsidP="009D6D3F">
      <w:pPr>
        <w:pStyle w:val="ListParagraph"/>
        <w:numPr>
          <w:ilvl w:val="0"/>
          <w:numId w:val="6"/>
        </w:numPr>
      </w:pPr>
      <w:r>
        <w:t>Not being able to pay a debt is not a defense</w:t>
      </w:r>
    </w:p>
    <w:p w:rsidR="009D6D3F" w:rsidRDefault="009D6D3F" w:rsidP="009D6D3F">
      <w:pPr>
        <w:pStyle w:val="ListParagraph"/>
        <w:numPr>
          <w:ilvl w:val="1"/>
          <w:numId w:val="6"/>
        </w:numPr>
      </w:pPr>
      <w:r>
        <w:t>Could be judgement proof at one time, but at another may not be</w:t>
      </w:r>
    </w:p>
    <w:p w:rsidR="009D6D3F" w:rsidRDefault="009D6D3F" w:rsidP="009D6D3F">
      <w:pPr>
        <w:pStyle w:val="ListParagraph"/>
        <w:numPr>
          <w:ilvl w:val="0"/>
          <w:numId w:val="6"/>
        </w:numPr>
      </w:pPr>
      <w:r>
        <w:t>Free debt counselling services &gt; debt consolidation companies; which charge fees</w:t>
      </w:r>
    </w:p>
    <w:p w:rsidR="009D6D3F" w:rsidRDefault="009D6D3F" w:rsidP="009D6D3F">
      <w:pPr>
        <w:pStyle w:val="ListParagraph"/>
        <w:numPr>
          <w:ilvl w:val="1"/>
          <w:numId w:val="6"/>
        </w:numPr>
      </w:pPr>
      <w:r>
        <w:t>Creditors/collection agencies don’t have to agree to consolidation</w:t>
      </w:r>
    </w:p>
    <w:p w:rsidR="00BB4465" w:rsidRPr="009D6D3F" w:rsidRDefault="00BB4465" w:rsidP="00BB4465">
      <w:pPr>
        <w:pStyle w:val="ListParagraph"/>
        <w:ind w:left="360"/>
      </w:pPr>
    </w:p>
    <w:sectPr w:rsidR="00BB4465" w:rsidRPr="009D6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4042"/>
    <w:multiLevelType w:val="hybridMultilevel"/>
    <w:tmpl w:val="EB4E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94B0A"/>
    <w:multiLevelType w:val="multilevel"/>
    <w:tmpl w:val="E408C5D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D4F1833"/>
    <w:multiLevelType w:val="multilevel"/>
    <w:tmpl w:val="E408C5D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B211458"/>
    <w:multiLevelType w:val="hybridMultilevel"/>
    <w:tmpl w:val="3DE8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44B31"/>
    <w:multiLevelType w:val="multilevel"/>
    <w:tmpl w:val="E408C5D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52E7F8C"/>
    <w:multiLevelType w:val="multilevel"/>
    <w:tmpl w:val="E408C5D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11"/>
    <w:rsid w:val="0000372C"/>
    <w:rsid w:val="001004FD"/>
    <w:rsid w:val="00116F4E"/>
    <w:rsid w:val="00125549"/>
    <w:rsid w:val="00331246"/>
    <w:rsid w:val="003B0442"/>
    <w:rsid w:val="0041418B"/>
    <w:rsid w:val="00581E71"/>
    <w:rsid w:val="00634B83"/>
    <w:rsid w:val="00677CC9"/>
    <w:rsid w:val="006D2309"/>
    <w:rsid w:val="006D481B"/>
    <w:rsid w:val="0074120D"/>
    <w:rsid w:val="007F4D16"/>
    <w:rsid w:val="007F69FF"/>
    <w:rsid w:val="008B44D2"/>
    <w:rsid w:val="00952F70"/>
    <w:rsid w:val="009D6D3F"/>
    <w:rsid w:val="00A11FC0"/>
    <w:rsid w:val="00A1670E"/>
    <w:rsid w:val="00A9397D"/>
    <w:rsid w:val="00AA4B59"/>
    <w:rsid w:val="00B925DF"/>
    <w:rsid w:val="00BB4465"/>
    <w:rsid w:val="00BC6E97"/>
    <w:rsid w:val="00BE1291"/>
    <w:rsid w:val="00BE5698"/>
    <w:rsid w:val="00C80026"/>
    <w:rsid w:val="00CF4168"/>
    <w:rsid w:val="00D338A0"/>
    <w:rsid w:val="00D37051"/>
    <w:rsid w:val="00D60235"/>
    <w:rsid w:val="00D61611"/>
    <w:rsid w:val="00DA401D"/>
    <w:rsid w:val="00DF6FD9"/>
    <w:rsid w:val="00EE3052"/>
    <w:rsid w:val="00F7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576DD-E4A3-4621-B8C1-D0C4A866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0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6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0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 Kayla</dc:creator>
  <cp:keywords/>
  <dc:description/>
  <cp:lastModifiedBy>Volunteer Kayla</cp:lastModifiedBy>
  <cp:revision>13</cp:revision>
  <dcterms:created xsi:type="dcterms:W3CDTF">2015-07-14T18:48:00Z</dcterms:created>
  <dcterms:modified xsi:type="dcterms:W3CDTF">2015-08-05T20:15:00Z</dcterms:modified>
</cp:coreProperties>
</file>